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BDB" w:rsidRPr="00AD35DB" w:rsidRDefault="00AD35DB" w:rsidP="00AD35DB">
      <w:pPr>
        <w:spacing w:line="480" w:lineRule="auto"/>
        <w:contextualSpacing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35DB">
        <w:rPr>
          <w:rFonts w:ascii="Times New Roman" w:eastAsia="Times New Roman" w:hAnsi="Times New Roman" w:cs="Times New Roman"/>
          <w:sz w:val="24"/>
          <w:szCs w:val="24"/>
        </w:rPr>
        <w:t>Montevideo, 27 de noviembre de 2018</w:t>
      </w:r>
    </w:p>
    <w:p w:rsidR="00AD35DB" w:rsidRDefault="00AD35DB" w:rsidP="00813BDB">
      <w:pPr>
        <w:spacing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AD35DB" w:rsidRDefault="00AD35DB" w:rsidP="00813BDB">
      <w:pPr>
        <w:spacing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Comité editor de la Revista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Virtualis</w:t>
      </w:r>
      <w:proofErr w:type="spellEnd"/>
    </w:p>
    <w:p w:rsidR="00813BDB" w:rsidRDefault="00813BDB" w:rsidP="00813BDB">
      <w:pPr>
        <w:spacing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71ED6">
        <w:rPr>
          <w:rFonts w:ascii="Times New Roman" w:eastAsia="Times New Roman" w:hAnsi="Times New Roman" w:cs="Times New Roman"/>
          <w:sz w:val="24"/>
          <w:szCs w:val="24"/>
        </w:rPr>
        <w:t>A través de la presente las autoras del artículo titulado: Competencia digital docente: entre las tensiones y los desafíos en la formación inicial docente. Aportes de dos estudios de caso múltiples en Uruguay, manifiestan que la presente producción es original e inédita.</w:t>
      </w:r>
    </w:p>
    <w:p w:rsidR="00AD35DB" w:rsidRDefault="00AD35DB" w:rsidP="00813BDB">
      <w:pPr>
        <w:spacing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 otro particular,</w:t>
      </w:r>
    </w:p>
    <w:p w:rsidR="00AD35DB" w:rsidRPr="00971ED6" w:rsidRDefault="00AD35DB" w:rsidP="00813BDB">
      <w:pPr>
        <w:spacing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Saludan cordialmente</w:t>
      </w:r>
    </w:p>
    <w:p w:rsidR="00813BDB" w:rsidRPr="00971ED6" w:rsidRDefault="00813BDB" w:rsidP="00813BDB">
      <w:pPr>
        <w:spacing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AD35DB" w:rsidRPr="00971ED6" w:rsidRDefault="00813BDB" w:rsidP="00AD35DB">
      <w:pPr>
        <w:spacing w:line="480" w:lineRule="auto"/>
        <w:ind w:left="-567" w:right="-568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71ED6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drawing>
          <wp:inline distT="114300" distB="114300" distL="114300" distR="114300" wp14:anchorId="16C66CAC" wp14:editId="5543CA1D">
            <wp:extent cx="2057400" cy="1171575"/>
            <wp:effectExtent l="0" t="0" r="0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D35DB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drawing>
          <wp:inline distT="0" distB="0" distL="0" distR="0">
            <wp:extent cx="2082929" cy="10191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104" cy="103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5DB" w:rsidRPr="00AD35DB">
        <w:rPr>
          <w:rFonts w:ascii="Times New Roman" w:eastAsia="Times New Roman" w:hAnsi="Times New Roman" w:cs="Times New Roman"/>
          <w:sz w:val="20"/>
          <w:szCs w:val="20"/>
        </w:rPr>
        <w:t>Noelia Campos. C.I: 3292679-7</w:t>
      </w:r>
    </w:p>
    <w:p w:rsidR="000F4D57" w:rsidRDefault="000F4D57">
      <w:bookmarkStart w:id="0" w:name="_GoBack"/>
      <w:bookmarkEnd w:id="0"/>
    </w:p>
    <w:sectPr w:rsidR="000F4D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20BF7"/>
    <w:multiLevelType w:val="multilevel"/>
    <w:tmpl w:val="7C46FF1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D4661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DB"/>
    <w:rsid w:val="000F4D57"/>
    <w:rsid w:val="00813BDB"/>
    <w:rsid w:val="00A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B81D5-5F90-43E1-83B4-BF0FA111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3BDB"/>
    <w:pPr>
      <w:spacing w:after="0" w:line="276" w:lineRule="auto"/>
      <w:contextualSpacing/>
    </w:pPr>
    <w:rPr>
      <w:rFonts w:ascii="Arial" w:eastAsia="Arial" w:hAnsi="Arial" w:cs="Arial"/>
      <w:lang w:val="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Campos</dc:creator>
  <cp:keywords/>
  <dc:description/>
  <cp:lastModifiedBy>Noelia Campos</cp:lastModifiedBy>
  <cp:revision>2</cp:revision>
  <dcterms:created xsi:type="dcterms:W3CDTF">2018-11-27T23:10:00Z</dcterms:created>
  <dcterms:modified xsi:type="dcterms:W3CDTF">2018-11-27T23:10:00Z</dcterms:modified>
</cp:coreProperties>
</file>